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CC68" w14:textId="629DA51A" w:rsidR="00170026" w:rsidRDefault="003A7514" w:rsidP="00C94123">
      <w:pPr>
        <w:pStyle w:val="Heading1"/>
      </w:pPr>
      <w:r>
        <w:t xml:space="preserve">CONNECT Feature Request – UOM conversion </w:t>
      </w:r>
    </w:p>
    <w:p w14:paraId="4BF7595C" w14:textId="4D496E23" w:rsidR="003A7514" w:rsidRPr="00A36833" w:rsidRDefault="003A7514">
      <w:pPr>
        <w:rPr>
          <w:sz w:val="22"/>
          <w:szCs w:val="22"/>
        </w:rPr>
      </w:pPr>
      <w:r w:rsidRPr="653D6CCA">
        <w:rPr>
          <w:sz w:val="22"/>
          <w:szCs w:val="22"/>
        </w:rPr>
        <w:t xml:space="preserve">Unit of Measure (UOM) </w:t>
      </w:r>
      <w:r w:rsidRPr="653D6CCA">
        <w:rPr>
          <w:sz w:val="22"/>
          <w:szCs w:val="22"/>
          <w:u w:val="single"/>
        </w:rPr>
        <w:t>standards</w:t>
      </w:r>
      <w:r w:rsidRPr="653D6CCA">
        <w:rPr>
          <w:sz w:val="22"/>
          <w:szCs w:val="22"/>
        </w:rPr>
        <w:t xml:space="preserve"> are commonly used in the Energy and </w:t>
      </w:r>
      <w:r w:rsidR="00C94123" w:rsidRPr="653D6CCA">
        <w:rPr>
          <w:sz w:val="22"/>
          <w:szCs w:val="22"/>
        </w:rPr>
        <w:t>M</w:t>
      </w:r>
      <w:r w:rsidRPr="653D6CCA">
        <w:rPr>
          <w:sz w:val="22"/>
          <w:szCs w:val="22"/>
        </w:rPr>
        <w:t xml:space="preserve">anufacturing industries.  </w:t>
      </w:r>
      <w:r w:rsidR="00991E88" w:rsidRPr="653D6CCA">
        <w:rPr>
          <w:b/>
          <w:bCs/>
          <w:sz w:val="22"/>
          <w:szCs w:val="22"/>
        </w:rPr>
        <w:t>Lack of the ability to convert UOM in CONNECT is seen as a “</w:t>
      </w:r>
      <w:r w:rsidR="4570DC1D" w:rsidRPr="653D6CCA">
        <w:rPr>
          <w:b/>
          <w:bCs/>
          <w:sz w:val="22"/>
          <w:szCs w:val="22"/>
        </w:rPr>
        <w:t>showstopper” for</w:t>
      </w:r>
      <w:r w:rsidR="00991E88" w:rsidRPr="653D6CCA">
        <w:rPr>
          <w:sz w:val="22"/>
          <w:szCs w:val="22"/>
        </w:rPr>
        <w:t xml:space="preserve"> </w:t>
      </w:r>
      <w:r w:rsidR="00E02B47" w:rsidRPr="653D6CCA">
        <w:rPr>
          <w:sz w:val="22"/>
          <w:szCs w:val="22"/>
        </w:rPr>
        <w:t xml:space="preserve">ExxonMobil in </w:t>
      </w:r>
      <w:r w:rsidR="00991E88" w:rsidRPr="653D6CCA">
        <w:rPr>
          <w:sz w:val="22"/>
          <w:szCs w:val="22"/>
        </w:rPr>
        <w:t xml:space="preserve">using CONNECT as their main </w:t>
      </w:r>
      <w:r w:rsidR="009A3BD8" w:rsidRPr="653D6CCA">
        <w:rPr>
          <w:sz w:val="22"/>
          <w:szCs w:val="22"/>
        </w:rPr>
        <w:t>operational Cloud platform</w:t>
      </w:r>
      <w:r w:rsidR="00E02B47" w:rsidRPr="653D6CCA">
        <w:rPr>
          <w:sz w:val="22"/>
          <w:szCs w:val="22"/>
        </w:rPr>
        <w:t>.</w:t>
      </w:r>
      <w:r w:rsidR="001F4883">
        <w:rPr>
          <w:sz w:val="22"/>
          <w:szCs w:val="22"/>
        </w:rPr>
        <w:t xml:space="preserve"> The</w:t>
      </w:r>
      <w:r w:rsidR="00A711B6">
        <w:rPr>
          <w:sz w:val="22"/>
          <w:szCs w:val="22"/>
        </w:rPr>
        <w:t xml:space="preserve"> conversion may </w:t>
      </w:r>
      <w:r w:rsidR="008D1FF4">
        <w:rPr>
          <w:sz w:val="22"/>
          <w:szCs w:val="22"/>
        </w:rPr>
        <w:t>apply</w:t>
      </w:r>
      <w:r w:rsidR="00A711B6">
        <w:rPr>
          <w:sz w:val="22"/>
          <w:szCs w:val="22"/>
        </w:rPr>
        <w:t xml:space="preserve"> for </w:t>
      </w:r>
      <w:r w:rsidR="00F47316">
        <w:rPr>
          <w:sz w:val="22"/>
          <w:szCs w:val="22"/>
        </w:rPr>
        <w:t xml:space="preserve">a few </w:t>
      </w:r>
      <w:r w:rsidR="00A711B6" w:rsidRPr="00F47316">
        <w:rPr>
          <w:b/>
          <w:bCs/>
          <w:sz w:val="22"/>
          <w:szCs w:val="22"/>
        </w:rPr>
        <w:t xml:space="preserve">million </w:t>
      </w:r>
      <w:r w:rsidR="00A711B6">
        <w:rPr>
          <w:sz w:val="22"/>
          <w:szCs w:val="22"/>
        </w:rPr>
        <w:t>streams</w:t>
      </w:r>
      <w:r w:rsidR="008D1FF4">
        <w:rPr>
          <w:sz w:val="22"/>
          <w:szCs w:val="22"/>
        </w:rPr>
        <w:t>, or parameters on the streams,</w:t>
      </w:r>
      <w:r w:rsidR="002B3FCC">
        <w:rPr>
          <w:sz w:val="22"/>
          <w:szCs w:val="22"/>
        </w:rPr>
        <w:t xml:space="preserve"> over a long reporting period (2+ years). </w:t>
      </w:r>
      <w:r w:rsidR="007D5860">
        <w:rPr>
          <w:sz w:val="22"/>
          <w:szCs w:val="22"/>
        </w:rPr>
        <w:t xml:space="preserve"> </w:t>
      </w:r>
      <w:r w:rsidR="00600FC8">
        <w:rPr>
          <w:sz w:val="22"/>
          <w:szCs w:val="22"/>
        </w:rPr>
        <w:t xml:space="preserve">As such, </w:t>
      </w:r>
      <w:r w:rsidR="00183A05">
        <w:rPr>
          <w:sz w:val="22"/>
          <w:szCs w:val="22"/>
        </w:rPr>
        <w:t xml:space="preserve">UOM conversions are not a “one off” </w:t>
      </w:r>
      <w:r w:rsidR="00145409">
        <w:rPr>
          <w:sz w:val="22"/>
          <w:szCs w:val="22"/>
        </w:rPr>
        <w:t xml:space="preserve">but a frequent conversion for large amounts of data. </w:t>
      </w:r>
      <w:r w:rsidR="00183A05">
        <w:rPr>
          <w:sz w:val="22"/>
          <w:szCs w:val="22"/>
        </w:rPr>
        <w:t xml:space="preserve"> </w:t>
      </w:r>
      <w:r w:rsidR="007D5860">
        <w:rPr>
          <w:sz w:val="22"/>
          <w:szCs w:val="22"/>
        </w:rPr>
        <w:t xml:space="preserve"> </w:t>
      </w:r>
      <w:r w:rsidR="00A711B6">
        <w:rPr>
          <w:sz w:val="22"/>
          <w:szCs w:val="22"/>
        </w:rPr>
        <w:t xml:space="preserve"> </w:t>
      </w:r>
    </w:p>
    <w:p w14:paraId="3E35EB4D" w14:textId="31BE747F" w:rsidR="003A7514" w:rsidRPr="00A36833" w:rsidRDefault="003B4EE8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CA535E">
        <w:rPr>
          <w:sz w:val="22"/>
          <w:szCs w:val="22"/>
        </w:rPr>
        <w:t>“</w:t>
      </w:r>
      <w:r>
        <w:rPr>
          <w:sz w:val="22"/>
          <w:szCs w:val="22"/>
        </w:rPr>
        <w:t>WHY</w:t>
      </w:r>
      <w:r w:rsidR="00CA535E">
        <w:rPr>
          <w:sz w:val="22"/>
          <w:szCs w:val="22"/>
        </w:rPr>
        <w:t>”</w:t>
      </w:r>
      <w:r>
        <w:rPr>
          <w:sz w:val="22"/>
          <w:szCs w:val="22"/>
        </w:rPr>
        <w:t>:</w:t>
      </w:r>
      <w:r w:rsidR="00CA535E">
        <w:rPr>
          <w:sz w:val="22"/>
          <w:szCs w:val="22"/>
        </w:rPr>
        <w:t xml:space="preserve"> </w:t>
      </w:r>
      <w:r w:rsidR="00163A49">
        <w:rPr>
          <w:sz w:val="22"/>
          <w:szCs w:val="22"/>
        </w:rPr>
        <w:t xml:space="preserve">There are </w:t>
      </w:r>
      <w:r w:rsidR="00C94123" w:rsidRPr="00A36833">
        <w:rPr>
          <w:sz w:val="22"/>
          <w:szCs w:val="22"/>
        </w:rPr>
        <w:t>multiple reasons</w:t>
      </w:r>
      <w:r w:rsidR="00163A49">
        <w:rPr>
          <w:sz w:val="22"/>
          <w:szCs w:val="22"/>
        </w:rPr>
        <w:t xml:space="preserve"> </w:t>
      </w:r>
      <w:r w:rsidR="008D1E85">
        <w:rPr>
          <w:sz w:val="22"/>
          <w:szCs w:val="22"/>
        </w:rPr>
        <w:t xml:space="preserve">why UOM </w:t>
      </w:r>
      <w:r w:rsidR="00D367DB">
        <w:rPr>
          <w:sz w:val="22"/>
          <w:szCs w:val="22"/>
        </w:rPr>
        <w:t xml:space="preserve">conversions are essential </w:t>
      </w:r>
      <w:r w:rsidR="00163A49">
        <w:rPr>
          <w:sz w:val="22"/>
          <w:szCs w:val="22"/>
        </w:rPr>
        <w:t xml:space="preserve">for </w:t>
      </w:r>
      <w:r w:rsidR="00D367DB">
        <w:rPr>
          <w:sz w:val="22"/>
          <w:szCs w:val="22"/>
        </w:rPr>
        <w:t>software applications</w:t>
      </w:r>
      <w:r w:rsidR="00C94123" w:rsidRPr="00A36833">
        <w:rPr>
          <w:sz w:val="22"/>
          <w:szCs w:val="22"/>
        </w:rPr>
        <w:t xml:space="preserve">: </w:t>
      </w:r>
      <w:r w:rsidR="003A7514" w:rsidRPr="00A36833">
        <w:rPr>
          <w:sz w:val="22"/>
          <w:szCs w:val="22"/>
        </w:rPr>
        <w:t xml:space="preserve"> </w:t>
      </w:r>
    </w:p>
    <w:p w14:paraId="70A5B6F2" w14:textId="56EB67F1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sz w:val="20"/>
          <w:szCs w:val="20"/>
        </w:rPr>
        <w:t xml:space="preserve"> </w:t>
      </w:r>
      <w:r w:rsidRPr="00A36833">
        <w:rPr>
          <w:rFonts w:eastAsia="Times New Roman"/>
          <w:sz w:val="20"/>
          <w:szCs w:val="20"/>
        </w:rPr>
        <w:t xml:space="preserve">1. </w:t>
      </w:r>
      <w:r w:rsidRPr="00A36833">
        <w:rPr>
          <w:rFonts w:eastAsia="Times New Roman"/>
          <w:b/>
          <w:bCs/>
          <w:sz w:val="20"/>
          <w:szCs w:val="20"/>
        </w:rPr>
        <w:t>Standardization and Consistency</w:t>
      </w:r>
      <w:r w:rsidR="00C94123" w:rsidRPr="00A36833">
        <w:rPr>
          <w:rFonts w:eastAsia="Times New Roman"/>
          <w:sz w:val="20"/>
          <w:szCs w:val="20"/>
        </w:rPr>
        <w:t xml:space="preserve"> - To</w:t>
      </w:r>
      <w:r w:rsidRPr="00A36833">
        <w:rPr>
          <w:rFonts w:eastAsia="Times New Roman"/>
          <w:sz w:val="20"/>
          <w:szCs w:val="20"/>
        </w:rPr>
        <w:t xml:space="preserve"> ensure consistency in communication where standard units (like SI units) are expected.</w:t>
      </w:r>
    </w:p>
    <w:p w14:paraId="76259D5D" w14:textId="1FD765F4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rFonts w:eastAsia="Times New Roman"/>
          <w:sz w:val="20"/>
          <w:szCs w:val="20"/>
        </w:rPr>
        <w:t xml:space="preserve">2. </w:t>
      </w:r>
      <w:r w:rsidRPr="00A36833">
        <w:rPr>
          <w:rFonts w:eastAsia="Times New Roman"/>
          <w:b/>
          <w:bCs/>
          <w:sz w:val="20"/>
          <w:szCs w:val="20"/>
        </w:rPr>
        <w:t>Compatibility</w:t>
      </w:r>
      <w:r w:rsidR="00C94123" w:rsidRPr="00A36833">
        <w:rPr>
          <w:rFonts w:eastAsia="Times New Roman"/>
          <w:sz w:val="20"/>
          <w:szCs w:val="20"/>
        </w:rPr>
        <w:t xml:space="preserve"> - To</w:t>
      </w:r>
      <w:r w:rsidRPr="00A36833">
        <w:rPr>
          <w:rFonts w:eastAsia="Times New Roman"/>
          <w:sz w:val="20"/>
          <w:szCs w:val="20"/>
        </w:rPr>
        <w:t xml:space="preserve"> match units when combining or comparing measurements</w:t>
      </w:r>
      <w:r w:rsidR="00C94123" w:rsidRPr="00A36833">
        <w:rPr>
          <w:rFonts w:eastAsia="Times New Roman"/>
          <w:sz w:val="20"/>
          <w:szCs w:val="20"/>
        </w:rPr>
        <w:t xml:space="preserve">. </w:t>
      </w:r>
      <w:r w:rsidRPr="00A36833">
        <w:rPr>
          <w:rFonts w:eastAsia="Times New Roman"/>
          <w:sz w:val="20"/>
          <w:szCs w:val="20"/>
        </w:rPr>
        <w:t xml:space="preserve"> </w:t>
      </w:r>
    </w:p>
    <w:p w14:paraId="1C42797F" w14:textId="7C68891F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rFonts w:eastAsia="Times New Roman"/>
          <w:sz w:val="20"/>
          <w:szCs w:val="20"/>
        </w:rPr>
        <w:t>3</w:t>
      </w:r>
      <w:r w:rsidRPr="00A36833">
        <w:rPr>
          <w:rFonts w:eastAsia="Times New Roman"/>
          <w:b/>
          <w:bCs/>
          <w:sz w:val="20"/>
          <w:szCs w:val="20"/>
        </w:rPr>
        <w:t>. Ease of Interpretation</w:t>
      </w:r>
      <w:r w:rsidR="00C94123" w:rsidRPr="00A36833">
        <w:rPr>
          <w:rFonts w:eastAsia="Times New Roman"/>
          <w:sz w:val="20"/>
          <w:szCs w:val="20"/>
        </w:rPr>
        <w:t xml:space="preserve"> - Some</w:t>
      </w:r>
      <w:r w:rsidRPr="00A36833">
        <w:rPr>
          <w:rFonts w:eastAsia="Times New Roman"/>
          <w:sz w:val="20"/>
          <w:szCs w:val="20"/>
        </w:rPr>
        <w:t xml:space="preserve"> units make values more understandable or practical (e.g., converting 0.0005 km to 0.5 meters makes it more intuitive).</w:t>
      </w:r>
    </w:p>
    <w:p w14:paraId="39C9AFD9" w14:textId="0CFF9D9A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rFonts w:eastAsia="Times New Roman"/>
          <w:sz w:val="20"/>
          <w:szCs w:val="20"/>
        </w:rPr>
        <w:t xml:space="preserve">4. </w:t>
      </w:r>
      <w:r w:rsidRPr="00A36833">
        <w:rPr>
          <w:rFonts w:eastAsia="Times New Roman"/>
          <w:b/>
          <w:bCs/>
          <w:sz w:val="20"/>
          <w:szCs w:val="20"/>
        </w:rPr>
        <w:t>Precision and Accuracy</w:t>
      </w:r>
      <w:r w:rsidR="00C94123" w:rsidRPr="00A36833">
        <w:rPr>
          <w:rFonts w:eastAsia="Times New Roman"/>
          <w:sz w:val="20"/>
          <w:szCs w:val="20"/>
        </w:rPr>
        <w:t xml:space="preserve"> - </w:t>
      </w:r>
      <w:r w:rsidRPr="00A36833">
        <w:rPr>
          <w:rFonts w:eastAsia="Times New Roman"/>
          <w:sz w:val="20"/>
          <w:szCs w:val="20"/>
        </w:rPr>
        <w:t>To express a measurement in the most appropriate unit for the required precision (e.g., micrometers for fine machining tolerances).</w:t>
      </w:r>
    </w:p>
    <w:p w14:paraId="6E1A9999" w14:textId="11627E72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rFonts w:eastAsia="Times New Roman"/>
          <w:sz w:val="20"/>
          <w:szCs w:val="20"/>
        </w:rPr>
        <w:t xml:space="preserve">5. </w:t>
      </w:r>
      <w:r w:rsidRPr="00A36833">
        <w:rPr>
          <w:rFonts w:eastAsia="Times New Roman"/>
          <w:b/>
          <w:bCs/>
          <w:sz w:val="20"/>
          <w:szCs w:val="20"/>
        </w:rPr>
        <w:t>Regulatory or Legal Requirements</w:t>
      </w:r>
      <w:r w:rsidR="00C94123" w:rsidRPr="00A36833">
        <w:rPr>
          <w:rFonts w:eastAsia="Times New Roman"/>
          <w:sz w:val="20"/>
          <w:szCs w:val="20"/>
        </w:rPr>
        <w:t xml:space="preserve"> - </w:t>
      </w:r>
      <w:r w:rsidRPr="00A36833">
        <w:rPr>
          <w:rFonts w:eastAsia="Times New Roman"/>
          <w:sz w:val="20"/>
          <w:szCs w:val="20"/>
        </w:rPr>
        <w:t>Certain industries or countries may mandate the use of specific units (e.g., metric units in most countries for packaging labels).</w:t>
      </w:r>
    </w:p>
    <w:p w14:paraId="21AFAE68" w14:textId="510D2508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rFonts w:eastAsia="Times New Roman"/>
          <w:sz w:val="20"/>
          <w:szCs w:val="20"/>
        </w:rPr>
        <w:t xml:space="preserve">6. </w:t>
      </w:r>
      <w:r w:rsidRPr="00A36833">
        <w:rPr>
          <w:rFonts w:eastAsia="Times New Roman"/>
          <w:b/>
          <w:bCs/>
          <w:sz w:val="20"/>
          <w:szCs w:val="20"/>
        </w:rPr>
        <w:t>Contextual Relevance</w:t>
      </w:r>
      <w:r w:rsidR="00C94123" w:rsidRPr="00A36833">
        <w:rPr>
          <w:rFonts w:eastAsia="Times New Roman"/>
          <w:sz w:val="20"/>
          <w:szCs w:val="20"/>
        </w:rPr>
        <w:t xml:space="preserve"> - </w:t>
      </w:r>
      <w:r w:rsidRPr="00A36833">
        <w:rPr>
          <w:rFonts w:eastAsia="Times New Roman"/>
          <w:sz w:val="20"/>
          <w:szCs w:val="20"/>
        </w:rPr>
        <w:t>Some units are more relevant to specific fields or everyday use (e.g., using inches for screen sizes in the U.S. vs. centimeters in Europe).</w:t>
      </w:r>
    </w:p>
    <w:p w14:paraId="665AF756" w14:textId="0E20EB60" w:rsidR="003A7514" w:rsidRPr="00A36833" w:rsidRDefault="003A7514" w:rsidP="00C94123">
      <w:pPr>
        <w:ind w:left="720"/>
        <w:rPr>
          <w:rFonts w:eastAsia="Times New Roman"/>
          <w:sz w:val="20"/>
          <w:szCs w:val="20"/>
        </w:rPr>
      </w:pPr>
      <w:r w:rsidRPr="00A36833">
        <w:rPr>
          <w:rFonts w:eastAsia="Times New Roman"/>
          <w:sz w:val="20"/>
          <w:szCs w:val="20"/>
        </w:rPr>
        <w:t>7</w:t>
      </w:r>
      <w:r w:rsidRPr="00A36833">
        <w:rPr>
          <w:rFonts w:eastAsia="Times New Roman"/>
          <w:b/>
          <w:bCs/>
          <w:sz w:val="20"/>
          <w:szCs w:val="20"/>
        </w:rPr>
        <w:t>. Convenience</w:t>
      </w:r>
      <w:r w:rsidR="00C94123" w:rsidRPr="00A36833">
        <w:rPr>
          <w:rFonts w:eastAsia="Times New Roman"/>
          <w:sz w:val="20"/>
          <w:szCs w:val="20"/>
        </w:rPr>
        <w:t xml:space="preserve"> - </w:t>
      </w:r>
      <w:r w:rsidRPr="00A36833">
        <w:rPr>
          <w:rFonts w:eastAsia="Times New Roman"/>
          <w:sz w:val="20"/>
          <w:szCs w:val="20"/>
        </w:rPr>
        <w:t xml:space="preserve">To simplify calculations </w:t>
      </w:r>
    </w:p>
    <w:p w14:paraId="48F0852A" w14:textId="740391D8" w:rsidR="00D168C9" w:rsidRDefault="00C94123" w:rsidP="00C94123">
      <w:pPr>
        <w:rPr>
          <w:sz w:val="22"/>
          <w:szCs w:val="22"/>
        </w:rPr>
      </w:pPr>
      <w:r w:rsidRPr="00A36833">
        <w:rPr>
          <w:sz w:val="22"/>
          <w:szCs w:val="22"/>
        </w:rPr>
        <w:t xml:space="preserve">For many of the reasons above ExxonMobil uses 2 main UOM </w:t>
      </w:r>
      <w:r w:rsidRPr="00417B11">
        <w:rPr>
          <w:sz w:val="22"/>
          <w:szCs w:val="22"/>
          <w:u w:val="single"/>
        </w:rPr>
        <w:t>conversion standards</w:t>
      </w:r>
      <w:r w:rsidR="00442920" w:rsidRPr="00A36833">
        <w:rPr>
          <w:sz w:val="22"/>
          <w:szCs w:val="22"/>
        </w:rPr>
        <w:t xml:space="preserve"> </w:t>
      </w:r>
      <w:r w:rsidR="006D56A4" w:rsidRPr="00A36833">
        <w:rPr>
          <w:sz w:val="22"/>
          <w:szCs w:val="22"/>
        </w:rPr>
        <w:t xml:space="preserve">for EVERY SITE </w:t>
      </w:r>
      <w:r w:rsidR="00442920" w:rsidRPr="00A36833">
        <w:rPr>
          <w:sz w:val="22"/>
          <w:szCs w:val="22"/>
        </w:rPr>
        <w:t xml:space="preserve">which </w:t>
      </w:r>
      <w:r w:rsidR="00E458EE" w:rsidRPr="00A36833">
        <w:rPr>
          <w:sz w:val="22"/>
          <w:szCs w:val="22"/>
        </w:rPr>
        <w:t>need</w:t>
      </w:r>
      <w:r w:rsidR="00442920" w:rsidRPr="00A36833">
        <w:rPr>
          <w:sz w:val="22"/>
          <w:szCs w:val="22"/>
        </w:rPr>
        <w:t xml:space="preserve"> to be applied to their </w:t>
      </w:r>
      <w:r w:rsidR="00D168C9" w:rsidRPr="00417B11">
        <w:rPr>
          <w:sz w:val="22"/>
          <w:szCs w:val="22"/>
          <w:u w:val="single"/>
        </w:rPr>
        <w:t xml:space="preserve">parameter </w:t>
      </w:r>
      <w:r w:rsidR="00442920" w:rsidRPr="00417B11">
        <w:rPr>
          <w:sz w:val="22"/>
          <w:szCs w:val="22"/>
          <w:u w:val="single"/>
        </w:rPr>
        <w:t>data</w:t>
      </w:r>
      <w:r w:rsidR="00442920" w:rsidRPr="00A36833">
        <w:rPr>
          <w:sz w:val="22"/>
          <w:szCs w:val="22"/>
        </w:rPr>
        <w:t xml:space="preserve"> in C</w:t>
      </w:r>
      <w:r w:rsidR="00417B11">
        <w:rPr>
          <w:sz w:val="22"/>
          <w:szCs w:val="22"/>
        </w:rPr>
        <w:t>ONNECT data services</w:t>
      </w:r>
      <w:r w:rsidRPr="00A36833">
        <w:rPr>
          <w:sz w:val="22"/>
          <w:szCs w:val="22"/>
        </w:rPr>
        <w:t>.</w:t>
      </w:r>
      <w:r w:rsidR="008E0F83">
        <w:rPr>
          <w:sz w:val="22"/>
          <w:szCs w:val="22"/>
        </w:rPr>
        <w:t xml:space="preserve"> </w:t>
      </w:r>
    </w:p>
    <w:p w14:paraId="1E134272" w14:textId="77777777" w:rsidR="00145409" w:rsidRDefault="00E376DB" w:rsidP="00C94123">
      <w:pPr>
        <w:rPr>
          <w:sz w:val="22"/>
          <w:szCs w:val="22"/>
        </w:rPr>
      </w:pPr>
      <w:r>
        <w:rPr>
          <w:sz w:val="22"/>
          <w:szCs w:val="22"/>
        </w:rPr>
        <w:t xml:space="preserve">The “WHAT”: </w:t>
      </w:r>
    </w:p>
    <w:p w14:paraId="535A3940" w14:textId="6B779746" w:rsidR="00B515E3" w:rsidRDefault="00145409" w:rsidP="00C94123">
      <w:pPr>
        <w:rPr>
          <w:sz w:val="22"/>
          <w:szCs w:val="22"/>
        </w:rPr>
      </w:pPr>
      <w:r w:rsidRPr="00145409">
        <w:rPr>
          <w:sz w:val="22"/>
          <w:szCs w:val="22"/>
        </w:rPr>
        <w:t>The actual measured value for any parameter/stream on any element for an Asset, from any source, should be stored in C</w:t>
      </w:r>
      <w:r w:rsidR="002B2653">
        <w:rPr>
          <w:sz w:val="22"/>
          <w:szCs w:val="22"/>
        </w:rPr>
        <w:t>ONNECT data services</w:t>
      </w:r>
      <w:r w:rsidRPr="00145409">
        <w:rPr>
          <w:sz w:val="22"/>
          <w:szCs w:val="22"/>
        </w:rPr>
        <w:t xml:space="preserve"> “as is” due to data integrity of the raw data. However, the raw data frequently needs to be exposed for multiple Use Cases, and to multiple user groups, in a different UOM than the measured UOM. As such, a parameter on a stream can be requested to be converted to multiple other UOMs from different user groups within a company.   </w:t>
      </w:r>
    </w:p>
    <w:p w14:paraId="27F97B77" w14:textId="77777777" w:rsidR="00A652B6" w:rsidRDefault="0003767F" w:rsidP="00C94123">
      <w:pPr>
        <w:rPr>
          <w:sz w:val="22"/>
          <w:szCs w:val="22"/>
        </w:rPr>
      </w:pPr>
      <w:r>
        <w:rPr>
          <w:sz w:val="22"/>
          <w:szCs w:val="22"/>
        </w:rPr>
        <w:t xml:space="preserve">The definition of the UOM conversion should be </w:t>
      </w:r>
      <w:r w:rsidR="00371593">
        <w:rPr>
          <w:sz w:val="22"/>
          <w:szCs w:val="22"/>
        </w:rPr>
        <w:t xml:space="preserve">set </w:t>
      </w:r>
      <w:r w:rsidR="00A00CD5">
        <w:rPr>
          <w:sz w:val="22"/>
          <w:szCs w:val="22"/>
        </w:rPr>
        <w:t xml:space="preserve">at </w:t>
      </w:r>
      <w:r w:rsidR="00760F24">
        <w:rPr>
          <w:sz w:val="22"/>
          <w:szCs w:val="22"/>
        </w:rPr>
        <w:t>a low/detailed level</w:t>
      </w:r>
      <w:r w:rsidR="00F827AA">
        <w:rPr>
          <w:sz w:val="22"/>
          <w:szCs w:val="22"/>
        </w:rPr>
        <w:t xml:space="preserve">. Commonly the parameter in an element or stream </w:t>
      </w:r>
      <w:r w:rsidR="004A6F0C">
        <w:rPr>
          <w:sz w:val="22"/>
          <w:szCs w:val="22"/>
        </w:rPr>
        <w:t>needs to be converted</w:t>
      </w:r>
      <w:r w:rsidR="001F4883">
        <w:rPr>
          <w:sz w:val="22"/>
          <w:szCs w:val="22"/>
        </w:rPr>
        <w:t xml:space="preserve">. </w:t>
      </w:r>
      <w:r w:rsidR="004A6F0C">
        <w:rPr>
          <w:sz w:val="22"/>
          <w:szCs w:val="22"/>
        </w:rPr>
        <w:t xml:space="preserve"> </w:t>
      </w:r>
      <w:r w:rsidR="00336BB7">
        <w:rPr>
          <w:sz w:val="22"/>
          <w:szCs w:val="22"/>
        </w:rPr>
        <w:t>The conversion can be as simple as converting Degrees Fahrenheit o</w:t>
      </w:r>
      <w:r w:rsidR="00385404">
        <w:rPr>
          <w:sz w:val="22"/>
          <w:szCs w:val="22"/>
        </w:rPr>
        <w:t>r</w:t>
      </w:r>
      <w:r w:rsidR="00336BB7">
        <w:rPr>
          <w:sz w:val="22"/>
          <w:szCs w:val="22"/>
        </w:rPr>
        <w:t xml:space="preserve"> </w:t>
      </w:r>
      <w:r w:rsidR="00385404">
        <w:rPr>
          <w:sz w:val="22"/>
          <w:szCs w:val="22"/>
        </w:rPr>
        <w:t>Celsius</w:t>
      </w:r>
      <w:r w:rsidR="00336BB7">
        <w:rPr>
          <w:sz w:val="22"/>
          <w:szCs w:val="22"/>
        </w:rPr>
        <w:t xml:space="preserve"> or </w:t>
      </w:r>
      <w:r w:rsidR="00385404">
        <w:rPr>
          <w:sz w:val="22"/>
          <w:szCs w:val="22"/>
        </w:rPr>
        <w:t>Pressure measured</w:t>
      </w:r>
      <w:r w:rsidR="00A652B6">
        <w:rPr>
          <w:sz w:val="22"/>
          <w:szCs w:val="22"/>
        </w:rPr>
        <w:t xml:space="preserve"> </w:t>
      </w:r>
      <w:r w:rsidR="00385404">
        <w:rPr>
          <w:sz w:val="22"/>
          <w:szCs w:val="22"/>
        </w:rPr>
        <w:t xml:space="preserve">in Bar </w:t>
      </w:r>
      <w:r w:rsidR="00A652B6">
        <w:rPr>
          <w:sz w:val="22"/>
          <w:szCs w:val="22"/>
        </w:rPr>
        <w:t xml:space="preserve">converted to </w:t>
      </w:r>
      <w:r w:rsidR="00385404">
        <w:rPr>
          <w:sz w:val="22"/>
          <w:szCs w:val="22"/>
        </w:rPr>
        <w:t xml:space="preserve">PIS or kPa. </w:t>
      </w:r>
      <w:r w:rsidR="00336BB7">
        <w:rPr>
          <w:sz w:val="22"/>
          <w:szCs w:val="22"/>
        </w:rPr>
        <w:t xml:space="preserve">  </w:t>
      </w:r>
    </w:p>
    <w:p w14:paraId="045F5FF5" w14:textId="77777777" w:rsidR="000B1DA7" w:rsidRDefault="002544B8" w:rsidP="00C94123">
      <w:pPr>
        <w:rPr>
          <w:sz w:val="22"/>
          <w:szCs w:val="22"/>
        </w:rPr>
      </w:pPr>
      <w:r>
        <w:rPr>
          <w:sz w:val="22"/>
          <w:szCs w:val="22"/>
        </w:rPr>
        <w:t xml:space="preserve">UOM conversion </w:t>
      </w:r>
      <w:r w:rsidR="00035D47">
        <w:rPr>
          <w:sz w:val="22"/>
          <w:szCs w:val="22"/>
        </w:rPr>
        <w:t>needs to be available for use inside CONNECT applications</w:t>
      </w:r>
      <w:r w:rsidR="003610ED">
        <w:rPr>
          <w:sz w:val="22"/>
          <w:szCs w:val="22"/>
        </w:rPr>
        <w:t xml:space="preserve"> – specifically visualization</w:t>
      </w:r>
      <w:r w:rsidR="00035D47">
        <w:rPr>
          <w:sz w:val="22"/>
          <w:szCs w:val="22"/>
        </w:rPr>
        <w:t>,</w:t>
      </w:r>
      <w:r w:rsidR="003610ED">
        <w:rPr>
          <w:sz w:val="22"/>
          <w:szCs w:val="22"/>
        </w:rPr>
        <w:t xml:space="preserve"> </w:t>
      </w:r>
      <w:r w:rsidR="00D76547">
        <w:rPr>
          <w:sz w:val="22"/>
          <w:szCs w:val="22"/>
        </w:rPr>
        <w:t xml:space="preserve">for data platform integration (Power BI, </w:t>
      </w:r>
      <w:r w:rsidR="007769A4">
        <w:rPr>
          <w:sz w:val="22"/>
          <w:szCs w:val="22"/>
        </w:rPr>
        <w:t>Seeq, Databrick etc.)</w:t>
      </w:r>
      <w:r w:rsidR="000B1DA7">
        <w:rPr>
          <w:sz w:val="22"/>
          <w:szCs w:val="22"/>
        </w:rPr>
        <w:t xml:space="preserve"> and</w:t>
      </w:r>
      <w:r w:rsidR="003610ED">
        <w:rPr>
          <w:sz w:val="22"/>
          <w:szCs w:val="22"/>
        </w:rPr>
        <w:t xml:space="preserve"> Communities</w:t>
      </w:r>
      <w:r w:rsidR="000B1DA7">
        <w:rPr>
          <w:sz w:val="22"/>
          <w:szCs w:val="22"/>
        </w:rPr>
        <w:t>.</w:t>
      </w:r>
    </w:p>
    <w:p w14:paraId="5647FF1B" w14:textId="7ECC72DC" w:rsidR="00A652B6" w:rsidRDefault="003610ED" w:rsidP="00C9412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478D52" w14:textId="1CDA4CB5" w:rsidR="000C5F60" w:rsidRDefault="00F8164D" w:rsidP="00C94123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UOM conversions are </w:t>
      </w:r>
      <w:r w:rsidR="00735D4C">
        <w:rPr>
          <w:sz w:val="22"/>
          <w:szCs w:val="22"/>
        </w:rPr>
        <w:t xml:space="preserve">often </w:t>
      </w:r>
      <w:r w:rsidR="00735D4C" w:rsidRPr="00F72F4C">
        <w:rPr>
          <w:sz w:val="22"/>
          <w:szCs w:val="22"/>
          <w:u w:val="single"/>
        </w:rPr>
        <w:t>standardized per company and industry.</w:t>
      </w:r>
      <w:r w:rsidR="00735D4C">
        <w:rPr>
          <w:sz w:val="22"/>
          <w:szCs w:val="22"/>
        </w:rPr>
        <w:t xml:space="preserve"> </w:t>
      </w:r>
      <w:r w:rsidR="000C5F60">
        <w:rPr>
          <w:sz w:val="22"/>
          <w:szCs w:val="22"/>
        </w:rPr>
        <w:t xml:space="preserve">The most common for the Energy industries are;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3069"/>
      </w:tblGrid>
      <w:tr w:rsidR="000C5F60" w14:paraId="63F98B12" w14:textId="77777777" w:rsidTr="000C5F60">
        <w:tc>
          <w:tcPr>
            <w:tcW w:w="3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B8736" w14:textId="77777777" w:rsidR="000C5F60" w:rsidRDefault="000C5F60">
            <w:pPr>
              <w:pStyle w:val="NormalWeb"/>
              <w:spacing w:before="0" w:beforeAutospacing="0" w:after="18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color w:val="000000"/>
                <w:sz w:val="18"/>
                <w:szCs w:val="18"/>
              </w:rPr>
              <w:t>Organization</w:t>
            </w:r>
          </w:p>
        </w:tc>
        <w:tc>
          <w:tcPr>
            <w:tcW w:w="30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F1EB4" w14:textId="77777777" w:rsidR="000C5F60" w:rsidRDefault="000C5F60">
            <w:pPr>
              <w:pStyle w:val="NormalWeb"/>
              <w:spacing w:before="0" w:beforeAutospacing="0" w:after="18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color w:val="000000"/>
                <w:sz w:val="18"/>
                <w:szCs w:val="18"/>
              </w:rPr>
              <w:t>Relevant Standard</w:t>
            </w:r>
          </w:p>
        </w:tc>
      </w:tr>
      <w:tr w:rsidR="000C5F60" w14:paraId="62C3F4EC" w14:textId="77777777" w:rsidTr="000C5F60">
        <w:tc>
          <w:tcPr>
            <w:tcW w:w="3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92DC4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 (International System of Units)</w:t>
            </w:r>
          </w:p>
        </w:tc>
        <w:tc>
          <w:tcPr>
            <w:tcW w:w="30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DBE8D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Global metric system</w:t>
            </w:r>
          </w:p>
        </w:tc>
      </w:tr>
      <w:tr w:rsidR="000C5F60" w14:paraId="6EBB0010" w14:textId="77777777" w:rsidTr="000C5F60">
        <w:tc>
          <w:tcPr>
            <w:tcW w:w="3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7E970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API (American Petroleum Institute)</w:t>
            </w:r>
          </w:p>
        </w:tc>
        <w:tc>
          <w:tcPr>
            <w:tcW w:w="30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33026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99257883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Oil and gas measurement standards</w:t>
            </w:r>
            <w:bookmarkEnd w:id="0"/>
          </w:p>
        </w:tc>
      </w:tr>
      <w:tr w:rsidR="000C5F60" w14:paraId="7C0569A7" w14:textId="77777777" w:rsidTr="000C5F60">
        <w:tc>
          <w:tcPr>
            <w:tcW w:w="3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E52FC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 (International Organization for Standardization)</w:t>
            </w:r>
          </w:p>
        </w:tc>
        <w:tc>
          <w:tcPr>
            <w:tcW w:w="30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25A0D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E.g., ISO 5167 for flow measurement</w:t>
            </w:r>
          </w:p>
        </w:tc>
      </w:tr>
      <w:tr w:rsidR="000C5F60" w14:paraId="05B0ABCA" w14:textId="77777777" w:rsidTr="000C5F60">
        <w:tc>
          <w:tcPr>
            <w:tcW w:w="3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33010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IEC (International Electrotechnical Commission)</w:t>
            </w:r>
          </w:p>
        </w:tc>
        <w:tc>
          <w:tcPr>
            <w:tcW w:w="30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7D484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Electrical measurement standards</w:t>
            </w:r>
          </w:p>
        </w:tc>
      </w:tr>
      <w:tr w:rsidR="000C5F60" w14:paraId="265120CA" w14:textId="77777777" w:rsidTr="000C5F60">
        <w:tc>
          <w:tcPr>
            <w:tcW w:w="3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B2412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OIML (International Legal Metrology)</w:t>
            </w:r>
          </w:p>
        </w:tc>
        <w:tc>
          <w:tcPr>
            <w:tcW w:w="30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3AF83" w14:textId="77777777" w:rsidR="000C5F60" w:rsidRDefault="000C5F60">
            <w:pPr>
              <w:pStyle w:val="NormalWeb"/>
              <w:spacing w:before="0" w:beforeAutospacing="0" w:after="18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Legal standards for measuring instruments</w:t>
            </w:r>
          </w:p>
        </w:tc>
      </w:tr>
    </w:tbl>
    <w:p w14:paraId="462A3B1F" w14:textId="77777777" w:rsidR="008D1E85" w:rsidRDefault="008D1E85" w:rsidP="00C94123">
      <w:pPr>
        <w:rPr>
          <w:sz w:val="22"/>
          <w:szCs w:val="22"/>
        </w:rPr>
      </w:pPr>
    </w:p>
    <w:p w14:paraId="06075882" w14:textId="171CC7D0" w:rsidR="00F72F4C" w:rsidRDefault="00F72F4C" w:rsidP="00C94123">
      <w:pPr>
        <w:rPr>
          <w:sz w:val="22"/>
          <w:szCs w:val="22"/>
        </w:rPr>
      </w:pPr>
      <w:r>
        <w:rPr>
          <w:sz w:val="22"/>
          <w:szCs w:val="22"/>
        </w:rPr>
        <w:t xml:space="preserve">The ability to </w:t>
      </w:r>
      <w:r w:rsidRPr="00CC2089">
        <w:rPr>
          <w:b/>
          <w:bCs/>
          <w:sz w:val="22"/>
          <w:szCs w:val="22"/>
        </w:rPr>
        <w:t>convert between the standards</w:t>
      </w:r>
      <w:r>
        <w:rPr>
          <w:sz w:val="22"/>
          <w:szCs w:val="22"/>
        </w:rPr>
        <w:t xml:space="preserve"> </w:t>
      </w:r>
      <w:r w:rsidR="004B486A">
        <w:rPr>
          <w:sz w:val="22"/>
          <w:szCs w:val="22"/>
        </w:rPr>
        <w:t xml:space="preserve">in CONNECT </w:t>
      </w:r>
      <w:r w:rsidR="00C24282">
        <w:rPr>
          <w:sz w:val="22"/>
          <w:szCs w:val="22"/>
        </w:rPr>
        <w:t xml:space="preserve">would be most useful. </w:t>
      </w:r>
      <w:r w:rsidR="00DD5713">
        <w:rPr>
          <w:sz w:val="22"/>
          <w:szCs w:val="22"/>
        </w:rPr>
        <w:t xml:space="preserve">For </w:t>
      </w:r>
      <w:r w:rsidR="008D1E85">
        <w:rPr>
          <w:sz w:val="22"/>
          <w:szCs w:val="22"/>
        </w:rPr>
        <w:t>example,</w:t>
      </w:r>
      <w:r w:rsidR="00DD5713">
        <w:rPr>
          <w:sz w:val="22"/>
          <w:szCs w:val="22"/>
        </w:rPr>
        <w:t xml:space="preserve"> converting from the metric system to the </w:t>
      </w:r>
      <w:r w:rsidR="00DD5713" w:rsidRPr="00DD5713">
        <w:rPr>
          <w:sz w:val="22"/>
          <w:szCs w:val="22"/>
        </w:rPr>
        <w:t>Oil and gas measurement standards</w:t>
      </w:r>
      <w:r w:rsidR="00DD5713">
        <w:rPr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239"/>
        <w:gridCol w:w="2675"/>
        <w:gridCol w:w="2576"/>
      </w:tblGrid>
      <w:tr w:rsidR="00BA6DFD" w:rsidRPr="00BA6DFD" w14:paraId="3FDA9DFB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3E096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b/>
                <w:bCs/>
                <w:sz w:val="22"/>
                <w:szCs w:val="22"/>
              </w:rPr>
              <w:t>Measurement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BC7D0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b/>
                <w:bCs/>
                <w:sz w:val="22"/>
                <w:szCs w:val="22"/>
              </w:rPr>
              <w:t>SI Unit (Metric)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D50ED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b/>
                <w:bCs/>
                <w:sz w:val="22"/>
                <w:szCs w:val="22"/>
              </w:rPr>
              <w:t>API Standard / Common U.S. Unit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6702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b/>
                <w:bCs/>
                <w:sz w:val="22"/>
                <w:szCs w:val="22"/>
              </w:rPr>
              <w:t>Conversion Factor</w:t>
            </w:r>
          </w:p>
        </w:tc>
      </w:tr>
      <w:tr w:rsidR="00BA6DFD" w:rsidRPr="00BA6DFD" w14:paraId="59754951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B7708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Length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2475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meter (m)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8DCB5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foot (ft)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7D362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m = 3.28084 ft</w:t>
            </w:r>
          </w:p>
        </w:tc>
      </w:tr>
      <w:tr w:rsidR="00BA6DFD" w:rsidRPr="00BA6DFD" w14:paraId="40D98E8E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A85CA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Volume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B564B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cubic meter (m³)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A7921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barrel (bbl)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5A075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m³ ≈ 6.28981 bbl</w:t>
            </w:r>
          </w:p>
        </w:tc>
      </w:tr>
      <w:tr w:rsidR="00BA6DFD" w:rsidRPr="00BA6DFD" w14:paraId="2B5EDA3A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EC68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Mass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44826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kilogram (kg)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0985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pound (lb)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241B1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kg = 2.20462 lb</w:t>
            </w:r>
          </w:p>
        </w:tc>
      </w:tr>
      <w:tr w:rsidR="00BA6DFD" w:rsidRPr="00BA6DFD" w14:paraId="1CCB5ED3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69C03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Energy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C2117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joule (J)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E4EE4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British Thermal Unit (BTU)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54B02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J ≈ 0.000947817 BTU</w:t>
            </w:r>
          </w:p>
        </w:tc>
      </w:tr>
      <w:tr w:rsidR="00BA6DFD" w:rsidRPr="00BA6DFD" w14:paraId="49DFB268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188FD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Pressure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11E8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pascal (Pa)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E4D2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pounds per square inch (psi)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3DA05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Pa ≈ 0.000145038 psi</w:t>
            </w:r>
          </w:p>
        </w:tc>
      </w:tr>
      <w:tr w:rsidR="00BA6DFD" w:rsidRPr="00BA6DFD" w14:paraId="60ACCC11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C094A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Temperature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D16A1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Celsius (°C)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9E18E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Fahrenheit (°F)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EA781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(°C × 9/5) + 32 = °F</w:t>
            </w:r>
          </w:p>
        </w:tc>
      </w:tr>
      <w:tr w:rsidR="00BA6DFD" w:rsidRPr="00BA6DFD" w14:paraId="73C865F4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D8E9A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Density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48F65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kg/m³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E13A6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lb/ft³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487BE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kg/m³ ≈ 0.06242796 lb/ft³</w:t>
            </w:r>
          </w:p>
        </w:tc>
      </w:tr>
      <w:tr w:rsidR="00BA6DFD" w:rsidRPr="00BA6DFD" w14:paraId="2DBC00E8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C2AFD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Flow Rate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A14BD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m³/day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A4E8F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barrels per day (bpd)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48AC1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m³/day ≈ 6.28981 bpd</w:t>
            </w:r>
          </w:p>
        </w:tc>
      </w:tr>
      <w:tr w:rsidR="00BA6DFD" w:rsidRPr="00BA6DFD" w14:paraId="7B85E9BD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7B8240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Viscosity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08D0B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centipoise (cP)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FB6E2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centipoise (cP)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7FEC8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1 cP = 1 cP (identical unit)</w:t>
            </w:r>
          </w:p>
        </w:tc>
      </w:tr>
      <w:tr w:rsidR="00BA6DFD" w:rsidRPr="00BA6DFD" w14:paraId="2525715E" w14:textId="77777777" w:rsidTr="008D1E85">
        <w:tc>
          <w:tcPr>
            <w:tcW w:w="1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4E282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API Gravity</w:t>
            </w:r>
          </w:p>
        </w:tc>
        <w:tc>
          <w:tcPr>
            <w:tcW w:w="1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26FF7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E2F4C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degrees API</w:t>
            </w:r>
          </w:p>
        </w:tc>
        <w:tc>
          <w:tcPr>
            <w:tcW w:w="25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944E9" w14:textId="77777777" w:rsidR="00BA6DFD" w:rsidRPr="00BA6DFD" w:rsidRDefault="00BA6DFD" w:rsidP="00BA6DFD">
            <w:pPr>
              <w:rPr>
                <w:rFonts w:ascii="Calibri" w:hAnsi="Calibri" w:cs="Calibri"/>
                <w:sz w:val="22"/>
                <w:szCs w:val="22"/>
              </w:rPr>
            </w:pPr>
            <w:r w:rsidRPr="00BA6DFD">
              <w:rPr>
                <w:rFonts w:ascii="Calibri" w:hAnsi="Calibri" w:cs="Calibri"/>
                <w:sz w:val="22"/>
                <w:szCs w:val="22"/>
              </w:rPr>
              <w:t>°API = (141.5 / SG at 60°F) - 131.5</w:t>
            </w:r>
          </w:p>
        </w:tc>
      </w:tr>
    </w:tbl>
    <w:p w14:paraId="52D54353" w14:textId="77777777" w:rsidR="00DD5713" w:rsidRDefault="00DD5713" w:rsidP="00C94123">
      <w:pPr>
        <w:rPr>
          <w:sz w:val="22"/>
          <w:szCs w:val="22"/>
        </w:rPr>
      </w:pPr>
    </w:p>
    <w:p w14:paraId="6C2348E5" w14:textId="77777777" w:rsidR="00C24282" w:rsidRDefault="00C24282" w:rsidP="00C94123">
      <w:pPr>
        <w:rPr>
          <w:sz w:val="22"/>
          <w:szCs w:val="22"/>
        </w:rPr>
      </w:pPr>
    </w:p>
    <w:p w14:paraId="4C7D73DC" w14:textId="0916FAA9" w:rsidR="00822806" w:rsidRDefault="00D367DB" w:rsidP="00C94123">
      <w:pPr>
        <w:rPr>
          <w:sz w:val="22"/>
          <w:szCs w:val="22"/>
        </w:rPr>
      </w:pPr>
      <w:r>
        <w:rPr>
          <w:sz w:val="22"/>
          <w:szCs w:val="22"/>
        </w:rPr>
        <w:lastRenderedPageBreak/>
        <w:t>“The HOW</w:t>
      </w:r>
      <w:r w:rsidR="003B0F1F">
        <w:rPr>
          <w:sz w:val="22"/>
          <w:szCs w:val="22"/>
        </w:rPr>
        <w:t>”:</w:t>
      </w:r>
      <w:r>
        <w:rPr>
          <w:sz w:val="22"/>
          <w:szCs w:val="22"/>
        </w:rPr>
        <w:t xml:space="preserve"> </w:t>
      </w:r>
    </w:p>
    <w:p w14:paraId="2D50B2E2" w14:textId="52B492D5" w:rsidR="0008754F" w:rsidRDefault="0008754F" w:rsidP="00C94123">
      <w:pPr>
        <w:rPr>
          <w:sz w:val="22"/>
          <w:szCs w:val="22"/>
        </w:rPr>
      </w:pPr>
      <w:r>
        <w:rPr>
          <w:sz w:val="22"/>
          <w:szCs w:val="22"/>
        </w:rPr>
        <w:t xml:space="preserve">UOM </w:t>
      </w:r>
      <w:r w:rsidR="00366DAA">
        <w:rPr>
          <w:sz w:val="22"/>
          <w:szCs w:val="22"/>
        </w:rPr>
        <w:t xml:space="preserve">conversion </w:t>
      </w:r>
      <w:r>
        <w:rPr>
          <w:sz w:val="22"/>
          <w:szCs w:val="22"/>
        </w:rPr>
        <w:t xml:space="preserve">is most common for </w:t>
      </w:r>
      <w:r w:rsidR="00366DAA">
        <w:rPr>
          <w:sz w:val="22"/>
          <w:szCs w:val="22"/>
        </w:rPr>
        <w:t xml:space="preserve">measured </w:t>
      </w:r>
      <w:r w:rsidR="003B0F1F">
        <w:rPr>
          <w:sz w:val="22"/>
          <w:szCs w:val="22"/>
        </w:rPr>
        <w:t>values but</w:t>
      </w:r>
      <w:r>
        <w:rPr>
          <w:sz w:val="22"/>
          <w:szCs w:val="22"/>
        </w:rPr>
        <w:t xml:space="preserve"> can also be </w:t>
      </w:r>
      <w:r w:rsidR="003B0F1F">
        <w:rPr>
          <w:sz w:val="22"/>
          <w:szCs w:val="22"/>
        </w:rPr>
        <w:t>applied</w:t>
      </w:r>
      <w:r>
        <w:rPr>
          <w:sz w:val="22"/>
          <w:szCs w:val="22"/>
        </w:rPr>
        <w:t xml:space="preserve"> to </w:t>
      </w:r>
      <w:r w:rsidR="003B0F1F">
        <w:rPr>
          <w:sz w:val="22"/>
          <w:szCs w:val="22"/>
        </w:rPr>
        <w:t xml:space="preserve">meta data. </w:t>
      </w:r>
      <w:r w:rsidR="00366DAA">
        <w:rPr>
          <w:sz w:val="22"/>
          <w:szCs w:val="22"/>
        </w:rPr>
        <w:t xml:space="preserve"> </w:t>
      </w:r>
      <w:r w:rsidR="003B0F1F">
        <w:rPr>
          <w:sz w:val="22"/>
          <w:szCs w:val="22"/>
        </w:rPr>
        <w:t xml:space="preserve">As such, the ability to define a conversion must be for parameters, streams, assets and </w:t>
      </w:r>
      <w:r w:rsidR="003B0F1F" w:rsidRPr="003B0F1F">
        <w:rPr>
          <w:sz w:val="22"/>
          <w:szCs w:val="22"/>
        </w:rPr>
        <w:t>entities</w:t>
      </w:r>
      <w:r w:rsidR="003B0F1F">
        <w:rPr>
          <w:sz w:val="22"/>
          <w:szCs w:val="22"/>
        </w:rPr>
        <w:t xml:space="preserve">. </w:t>
      </w:r>
    </w:p>
    <w:p w14:paraId="55200D75" w14:textId="67A88674" w:rsidR="00A36833" w:rsidRPr="00A36833" w:rsidRDefault="00AE6C88" w:rsidP="00AE6C88">
      <w:r>
        <w:rPr>
          <w:sz w:val="22"/>
          <w:szCs w:val="22"/>
        </w:rPr>
        <w:t>We can possibly u</w:t>
      </w:r>
      <w:r w:rsidR="00180775" w:rsidRPr="00CC4C07">
        <w:rPr>
          <w:sz w:val="22"/>
          <w:szCs w:val="22"/>
        </w:rPr>
        <w:t>tilize the existing ability in CDS to Configure UOMs for streams</w:t>
      </w:r>
      <w:r w:rsidR="00EE1045">
        <w:rPr>
          <w:sz w:val="22"/>
          <w:szCs w:val="22"/>
        </w:rPr>
        <w:t>/parameters</w:t>
      </w:r>
      <w:r w:rsidR="00180775" w:rsidRPr="00CC4C07">
        <w:rPr>
          <w:sz w:val="22"/>
          <w:szCs w:val="22"/>
        </w:rPr>
        <w:t>:</w:t>
      </w:r>
    </w:p>
    <w:p w14:paraId="47E32586" w14:textId="3064AD8E" w:rsidR="00C94123" w:rsidRDefault="00C94123" w:rsidP="00180775">
      <w:r>
        <w:t xml:space="preserve"> </w:t>
      </w:r>
      <w:r w:rsidR="00A36833" w:rsidRPr="00882FC9">
        <w:rPr>
          <w:b/>
          <w:bCs/>
          <w:noProof/>
          <w:color w:val="FF0000"/>
        </w:rPr>
        <w:drawing>
          <wp:inline distT="0" distB="0" distL="0" distR="0" wp14:anchorId="2162FE66" wp14:editId="3019A803">
            <wp:extent cx="4086446" cy="1970314"/>
            <wp:effectExtent l="0" t="0" r="0" b="0"/>
            <wp:docPr id="121997497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74970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0609" cy="198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4502" w14:textId="18697090" w:rsidR="005850C7" w:rsidRDefault="00C94123" w:rsidP="009815CF">
      <w:r>
        <w:t xml:space="preserve"> </w:t>
      </w:r>
      <w:r w:rsidR="00B7464B">
        <w:rPr>
          <w:noProof/>
        </w:rPr>
        <w:drawing>
          <wp:inline distT="0" distB="0" distL="0" distR="0" wp14:anchorId="18306B3D" wp14:editId="3E23592A">
            <wp:extent cx="5943600" cy="3101340"/>
            <wp:effectExtent l="9525" t="9525" r="9525" b="9525"/>
            <wp:docPr id="2930539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53975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340"/>
                    </a:xfrm>
                    <a:prstGeom prst="rect">
                      <a:avLst/>
                    </a:prstGeom>
                    <a:ln w="9525">
                      <a:solidFill>
                        <a:srgbClr val="FF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F87F339" w14:textId="3B5A518E" w:rsidR="00F662E3" w:rsidRDefault="00EE1045" w:rsidP="009815CF">
      <w:r w:rsidRPr="0006459C">
        <w:rPr>
          <w:highlight w:val="yellow"/>
        </w:rPr>
        <w:t>Ideally</w:t>
      </w:r>
      <w:r w:rsidR="0006459C" w:rsidRPr="0006459C">
        <w:rPr>
          <w:highlight w:val="yellow"/>
        </w:rPr>
        <w:t>,</w:t>
      </w:r>
      <w:r w:rsidRPr="0006459C">
        <w:rPr>
          <w:highlight w:val="yellow"/>
        </w:rPr>
        <w:t xml:space="preserve"> we also have a place to import</w:t>
      </w:r>
      <w:r w:rsidR="0006459C" w:rsidRPr="0006459C">
        <w:rPr>
          <w:highlight w:val="yellow"/>
        </w:rPr>
        <w:t>/define</w:t>
      </w:r>
      <w:r w:rsidRPr="0006459C">
        <w:rPr>
          <w:highlight w:val="yellow"/>
        </w:rPr>
        <w:t xml:space="preserve"> the </w:t>
      </w:r>
      <w:r w:rsidR="0006459C" w:rsidRPr="0006459C">
        <w:rPr>
          <w:highlight w:val="yellow"/>
        </w:rPr>
        <w:t xml:space="preserve">UOM </w:t>
      </w:r>
      <w:r w:rsidRPr="0006459C">
        <w:rPr>
          <w:highlight w:val="yellow"/>
        </w:rPr>
        <w:t>standards</w:t>
      </w:r>
      <w:r w:rsidR="0006459C">
        <w:rPr>
          <w:highlight w:val="yellow"/>
        </w:rPr>
        <w:t xml:space="preserve"> within CDS</w:t>
      </w:r>
      <w:r w:rsidR="0006459C" w:rsidRPr="0006459C">
        <w:rPr>
          <w:highlight w:val="yellow"/>
        </w:rPr>
        <w:t>.</w:t>
      </w:r>
      <w:r w:rsidR="0006459C">
        <w:t xml:space="preserve"> </w:t>
      </w:r>
      <w:r>
        <w:t xml:space="preserve"> </w:t>
      </w:r>
    </w:p>
    <w:p w14:paraId="0C4395EB" w14:textId="7E2E33A2" w:rsidR="009D6EC5" w:rsidRPr="009D6EC5" w:rsidRDefault="009D6EC5" w:rsidP="0006459C">
      <w:pPr>
        <w:rPr>
          <w:b/>
          <w:bCs/>
        </w:rPr>
      </w:pPr>
      <w:r w:rsidRPr="009D6EC5">
        <w:rPr>
          <w:b/>
          <w:bCs/>
        </w:rPr>
        <w:t>Ad hoc or “on the fly” conversion.</w:t>
      </w:r>
    </w:p>
    <w:p w14:paraId="47EA8279" w14:textId="444D0C54" w:rsidR="00537646" w:rsidRDefault="00070C0B" w:rsidP="0006459C">
      <w:r>
        <w:t xml:space="preserve">When </w:t>
      </w:r>
      <w:r w:rsidR="009F3E00" w:rsidRPr="009F3E00">
        <w:t>the required UOM standards</w:t>
      </w:r>
      <w:r w:rsidR="009F3E00" w:rsidRPr="009F3E00">
        <w:t xml:space="preserve"> </w:t>
      </w:r>
      <w:r>
        <w:t xml:space="preserve">are </w:t>
      </w:r>
      <w:r w:rsidR="003438C3">
        <w:t xml:space="preserve">added/defined </w:t>
      </w:r>
      <w:r w:rsidR="00537646">
        <w:t>on the</w:t>
      </w:r>
      <w:r w:rsidR="003438C3">
        <w:t xml:space="preserve"> </w:t>
      </w:r>
      <w:r w:rsidR="00546A29">
        <w:t xml:space="preserve">streams </w:t>
      </w:r>
      <w:r w:rsidR="0031430D">
        <w:t xml:space="preserve">in CDS </w:t>
      </w:r>
      <w:r w:rsidR="00546A29">
        <w:t>they should be a</w:t>
      </w:r>
      <w:r w:rsidR="005B45DE">
        <w:t xml:space="preserve">vailable for </w:t>
      </w:r>
      <w:r w:rsidR="00546A29">
        <w:t>use</w:t>
      </w:r>
      <w:r w:rsidR="005B45DE">
        <w:t xml:space="preserve"> by</w:t>
      </w:r>
      <w:r w:rsidR="0031430D">
        <w:t xml:space="preserve"> </w:t>
      </w:r>
      <w:r w:rsidR="0031430D" w:rsidRPr="00F37750">
        <w:t>Da</w:t>
      </w:r>
      <w:r w:rsidR="00546A29" w:rsidRPr="00F37750">
        <w:t>taViews</w:t>
      </w:r>
      <w:r w:rsidR="00E95689" w:rsidRPr="00F37750">
        <w:t xml:space="preserve">, </w:t>
      </w:r>
      <w:r w:rsidR="00F37750" w:rsidRPr="00F37750">
        <w:t xml:space="preserve">Connect </w:t>
      </w:r>
      <w:r w:rsidR="005B45DE">
        <w:t>V</w:t>
      </w:r>
      <w:r w:rsidR="00F37750" w:rsidRPr="00F37750">
        <w:t>isualization</w:t>
      </w:r>
      <w:r w:rsidR="007A3668">
        <w:t xml:space="preserve">, Communities and Connectors etc. </w:t>
      </w:r>
      <w:r w:rsidR="00F37750" w:rsidRPr="00F37750">
        <w:t xml:space="preserve"> </w:t>
      </w:r>
    </w:p>
    <w:p w14:paraId="26A8937C" w14:textId="04B38C47" w:rsidR="00070C0B" w:rsidRDefault="00537646" w:rsidP="0006459C">
      <w:r w:rsidRPr="009D6EC5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F6F113" wp14:editId="4E2BC75D">
                <wp:simplePos x="0" y="0"/>
                <wp:positionH relativeFrom="column">
                  <wp:posOffset>3403425</wp:posOffset>
                </wp:positionH>
                <wp:positionV relativeFrom="paragraph">
                  <wp:posOffset>187889</wp:posOffset>
                </wp:positionV>
                <wp:extent cx="2291741" cy="1215825"/>
                <wp:effectExtent l="38100" t="0" r="32385" b="60960"/>
                <wp:wrapNone/>
                <wp:docPr id="133428531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1741" cy="121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B4D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68pt;margin-top:14.8pt;width:180.45pt;height:95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 w:rsidR="00465EDD" w:rsidRPr="00F37750">
        <w:t xml:space="preserve">Example: </w:t>
      </w:r>
      <w:r w:rsidR="00B030E2">
        <w:t xml:space="preserve">Today the DataView </w:t>
      </w:r>
      <w:r w:rsidR="005B7DA9" w:rsidRPr="00F37750">
        <w:t xml:space="preserve">column </w:t>
      </w:r>
      <w:r w:rsidR="00B030E2">
        <w:t xml:space="preserve">shows </w:t>
      </w:r>
      <w:r w:rsidR="00E06B71">
        <w:t xml:space="preserve">the </w:t>
      </w:r>
      <w:r w:rsidR="00B030E2">
        <w:t xml:space="preserve">raw data measured </w:t>
      </w:r>
      <w:r w:rsidR="00781A3D">
        <w:t xml:space="preserve">e.g. </w:t>
      </w:r>
      <w:r w:rsidR="00E06B71">
        <w:t>heading is “</w:t>
      </w:r>
      <w:r w:rsidR="00E06B71" w:rsidRPr="0006459C">
        <w:rPr>
          <w:b/>
          <w:bCs/>
        </w:rPr>
        <w:t>BHPA Value bar</w:t>
      </w:r>
      <w:r w:rsidR="00E06B71">
        <w:t>”</w:t>
      </w:r>
      <w:r w:rsidR="00781A3D">
        <w:t xml:space="preserve">. </w:t>
      </w:r>
      <w:r w:rsidR="00944414">
        <w:t xml:space="preserve">With UOM conversion enabled </w:t>
      </w:r>
      <w:r w:rsidR="005A4F82">
        <w:t xml:space="preserve">the </w:t>
      </w:r>
      <w:r w:rsidR="00CA115E">
        <w:t xml:space="preserve">DataView column </w:t>
      </w:r>
      <w:r w:rsidR="00CC34FC">
        <w:t xml:space="preserve">can </w:t>
      </w:r>
      <w:r w:rsidR="003B4BF4">
        <w:t>be configur</w:t>
      </w:r>
      <w:r w:rsidR="00CC34FC">
        <w:t>ed</w:t>
      </w:r>
      <w:r w:rsidR="003B4BF4">
        <w:t xml:space="preserve"> to be a different </w:t>
      </w:r>
      <w:r w:rsidR="00A65C2E">
        <w:t>UOM for example: “</w:t>
      </w:r>
      <w:r w:rsidR="003B4BF4" w:rsidRPr="0006459C">
        <w:rPr>
          <w:b/>
          <w:bCs/>
        </w:rPr>
        <w:t xml:space="preserve">BHPA </w:t>
      </w:r>
      <w:r w:rsidR="00A65C2E" w:rsidRPr="0006459C">
        <w:rPr>
          <w:b/>
          <w:bCs/>
        </w:rPr>
        <w:t xml:space="preserve">Value </w:t>
      </w:r>
      <w:r w:rsidR="003B4BF4" w:rsidRPr="0006459C">
        <w:rPr>
          <w:b/>
          <w:bCs/>
        </w:rPr>
        <w:t>PSI</w:t>
      </w:r>
      <w:r w:rsidR="003B4BF4">
        <w:t>”</w:t>
      </w:r>
      <w:r w:rsidR="00C73AFF">
        <w:t xml:space="preserve">. </w:t>
      </w:r>
      <w:r w:rsidR="00DF4ED6">
        <w:t xml:space="preserve">As such, the </w:t>
      </w:r>
      <w:r w:rsidR="006E7A24">
        <w:t xml:space="preserve">configuration </w:t>
      </w:r>
      <w:r w:rsidR="008D6D3A">
        <w:t xml:space="preserve">of the DataView UOM will trigger the </w:t>
      </w:r>
      <w:r w:rsidR="005E6463">
        <w:t>conversion</w:t>
      </w:r>
      <w:r w:rsidR="008D6D3A">
        <w:t xml:space="preserve"> </w:t>
      </w:r>
      <w:r w:rsidR="005E6463">
        <w:t xml:space="preserve">prior to displaying the data in the DataView. </w:t>
      </w:r>
      <w:r w:rsidR="008D6D3A">
        <w:t xml:space="preserve"> </w:t>
      </w:r>
    </w:p>
    <w:p w14:paraId="4BA763B8" w14:textId="5DE93C50" w:rsidR="009B1F42" w:rsidRPr="00C94123" w:rsidRDefault="006B7587" w:rsidP="006B7587">
      <w:r>
        <w:rPr>
          <w:noProof/>
        </w:rPr>
        <w:drawing>
          <wp:inline distT="0" distB="0" distL="0" distR="0" wp14:anchorId="57BBB050" wp14:editId="5667D270">
            <wp:extent cx="4637314" cy="2678346"/>
            <wp:effectExtent l="0" t="0" r="0" b="8255"/>
            <wp:docPr id="6721724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172431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3136" cy="268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F42" w:rsidRPr="00C9412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1761" w14:textId="77777777" w:rsidR="00520851" w:rsidRDefault="00520851" w:rsidP="00C94123">
      <w:pPr>
        <w:spacing w:after="0" w:line="240" w:lineRule="auto"/>
      </w:pPr>
      <w:r>
        <w:separator/>
      </w:r>
    </w:p>
  </w:endnote>
  <w:endnote w:type="continuationSeparator" w:id="0">
    <w:p w14:paraId="5A175ECF" w14:textId="77777777" w:rsidR="00520851" w:rsidRDefault="00520851" w:rsidP="00C9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74A2" w14:textId="77777777" w:rsidR="00C94123" w:rsidRPr="00A36833" w:rsidRDefault="00C94123" w:rsidP="00C94123">
    <w:pPr>
      <w:pStyle w:val="Footer"/>
      <w:jc w:val="center"/>
      <w:rPr>
        <w:caps/>
        <w:color w:val="156082" w:themeColor="accent1"/>
        <w:sz w:val="20"/>
        <w:szCs w:val="20"/>
      </w:rPr>
    </w:pPr>
    <w:r w:rsidRPr="00A36833">
      <w:rPr>
        <w:caps/>
        <w:color w:val="156082" w:themeColor="accent1"/>
        <w:sz w:val="20"/>
        <w:szCs w:val="20"/>
      </w:rPr>
      <w:t>Hege Dammen &amp; Fabio Laercio Dani</w:t>
    </w:r>
  </w:p>
  <w:p w14:paraId="006F78AB" w14:textId="5B799C98" w:rsidR="00C94123" w:rsidRDefault="00C94123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55D4BB1D" w14:textId="77777777" w:rsidR="00C94123" w:rsidRDefault="00C94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F9F7" w14:textId="77777777" w:rsidR="00520851" w:rsidRDefault="00520851" w:rsidP="00C94123">
      <w:pPr>
        <w:spacing w:after="0" w:line="240" w:lineRule="auto"/>
      </w:pPr>
      <w:r>
        <w:separator/>
      </w:r>
    </w:p>
  </w:footnote>
  <w:footnote w:type="continuationSeparator" w:id="0">
    <w:p w14:paraId="29FFDC02" w14:textId="77777777" w:rsidR="00520851" w:rsidRDefault="00520851" w:rsidP="00C94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D6C1E"/>
    <w:multiLevelType w:val="hybridMultilevel"/>
    <w:tmpl w:val="C332DF56"/>
    <w:lvl w:ilvl="0" w:tplc="792C00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096B1B"/>
    <w:multiLevelType w:val="hybridMultilevel"/>
    <w:tmpl w:val="5A98E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940687">
    <w:abstractNumId w:val="1"/>
  </w:num>
  <w:num w:numId="2" w16cid:durableId="91732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14"/>
    <w:rsid w:val="00000050"/>
    <w:rsid w:val="00035D47"/>
    <w:rsid w:val="0003767F"/>
    <w:rsid w:val="000504B1"/>
    <w:rsid w:val="00051FCC"/>
    <w:rsid w:val="0006459C"/>
    <w:rsid w:val="0006557B"/>
    <w:rsid w:val="00070C0B"/>
    <w:rsid w:val="0008754F"/>
    <w:rsid w:val="00090A95"/>
    <w:rsid w:val="000A4D75"/>
    <w:rsid w:val="000B0125"/>
    <w:rsid w:val="000B1DA7"/>
    <w:rsid w:val="000C3723"/>
    <w:rsid w:val="000C5F60"/>
    <w:rsid w:val="000D15C8"/>
    <w:rsid w:val="000E7A21"/>
    <w:rsid w:val="00107488"/>
    <w:rsid w:val="00145409"/>
    <w:rsid w:val="00157408"/>
    <w:rsid w:val="001615FD"/>
    <w:rsid w:val="00163A49"/>
    <w:rsid w:val="00170026"/>
    <w:rsid w:val="00180775"/>
    <w:rsid w:val="00183A05"/>
    <w:rsid w:val="001C6928"/>
    <w:rsid w:val="001F4883"/>
    <w:rsid w:val="00240E1D"/>
    <w:rsid w:val="00252996"/>
    <w:rsid w:val="002544B8"/>
    <w:rsid w:val="002A2F65"/>
    <w:rsid w:val="002B2653"/>
    <w:rsid w:val="002B3FCC"/>
    <w:rsid w:val="002D5DFE"/>
    <w:rsid w:val="002F7001"/>
    <w:rsid w:val="0031430D"/>
    <w:rsid w:val="00331EF2"/>
    <w:rsid w:val="003336E6"/>
    <w:rsid w:val="00336BB7"/>
    <w:rsid w:val="003438C3"/>
    <w:rsid w:val="00345D50"/>
    <w:rsid w:val="003610ED"/>
    <w:rsid w:val="00366DAA"/>
    <w:rsid w:val="00371593"/>
    <w:rsid w:val="00385404"/>
    <w:rsid w:val="003A6DB6"/>
    <w:rsid w:val="003A7514"/>
    <w:rsid w:val="003B0F1F"/>
    <w:rsid w:val="003B4BF4"/>
    <w:rsid w:val="003B4EE8"/>
    <w:rsid w:val="003D3A5C"/>
    <w:rsid w:val="003D6AEB"/>
    <w:rsid w:val="00417B11"/>
    <w:rsid w:val="004204B5"/>
    <w:rsid w:val="00442920"/>
    <w:rsid w:val="00465EDD"/>
    <w:rsid w:val="004A48EB"/>
    <w:rsid w:val="004A6F0C"/>
    <w:rsid w:val="004B486A"/>
    <w:rsid w:val="004F33A5"/>
    <w:rsid w:val="004F5852"/>
    <w:rsid w:val="00501FDA"/>
    <w:rsid w:val="00520851"/>
    <w:rsid w:val="00537646"/>
    <w:rsid w:val="00546A29"/>
    <w:rsid w:val="0058021B"/>
    <w:rsid w:val="005850C7"/>
    <w:rsid w:val="005A4F82"/>
    <w:rsid w:val="005B45DE"/>
    <w:rsid w:val="005B7DA9"/>
    <w:rsid w:val="005D33C7"/>
    <w:rsid w:val="005E6463"/>
    <w:rsid w:val="005F2771"/>
    <w:rsid w:val="00600FC8"/>
    <w:rsid w:val="00604130"/>
    <w:rsid w:val="006327FB"/>
    <w:rsid w:val="006B7587"/>
    <w:rsid w:val="006D56A4"/>
    <w:rsid w:val="006E7A24"/>
    <w:rsid w:val="00706D37"/>
    <w:rsid w:val="0071417E"/>
    <w:rsid w:val="00724570"/>
    <w:rsid w:val="007308D8"/>
    <w:rsid w:val="00735D4C"/>
    <w:rsid w:val="00756397"/>
    <w:rsid w:val="00760F24"/>
    <w:rsid w:val="007769A4"/>
    <w:rsid w:val="00781A3D"/>
    <w:rsid w:val="00791808"/>
    <w:rsid w:val="007A3668"/>
    <w:rsid w:val="007D5860"/>
    <w:rsid w:val="007D5D00"/>
    <w:rsid w:val="007E10AE"/>
    <w:rsid w:val="00800269"/>
    <w:rsid w:val="00822806"/>
    <w:rsid w:val="00846F3F"/>
    <w:rsid w:val="0087726F"/>
    <w:rsid w:val="008A2E3A"/>
    <w:rsid w:val="008C3B88"/>
    <w:rsid w:val="008D1E85"/>
    <w:rsid w:val="008D1FF4"/>
    <w:rsid w:val="008D6D3A"/>
    <w:rsid w:val="008E0F83"/>
    <w:rsid w:val="0090351F"/>
    <w:rsid w:val="0090763E"/>
    <w:rsid w:val="00944414"/>
    <w:rsid w:val="00966535"/>
    <w:rsid w:val="00967090"/>
    <w:rsid w:val="00977CAB"/>
    <w:rsid w:val="009815CF"/>
    <w:rsid w:val="00991E88"/>
    <w:rsid w:val="00993C3C"/>
    <w:rsid w:val="009A3380"/>
    <w:rsid w:val="009A3BD8"/>
    <w:rsid w:val="009B19B9"/>
    <w:rsid w:val="009B1F42"/>
    <w:rsid w:val="009D062D"/>
    <w:rsid w:val="009D6EC5"/>
    <w:rsid w:val="009F3E00"/>
    <w:rsid w:val="00A00CD5"/>
    <w:rsid w:val="00A36833"/>
    <w:rsid w:val="00A652B6"/>
    <w:rsid w:val="00A65C2E"/>
    <w:rsid w:val="00A711B6"/>
    <w:rsid w:val="00AA19E2"/>
    <w:rsid w:val="00AD4913"/>
    <w:rsid w:val="00AE6C88"/>
    <w:rsid w:val="00AF1E03"/>
    <w:rsid w:val="00AF1EF0"/>
    <w:rsid w:val="00B030E2"/>
    <w:rsid w:val="00B3778E"/>
    <w:rsid w:val="00B515E3"/>
    <w:rsid w:val="00B7464B"/>
    <w:rsid w:val="00B839B1"/>
    <w:rsid w:val="00BA6DFD"/>
    <w:rsid w:val="00BD3D53"/>
    <w:rsid w:val="00C17040"/>
    <w:rsid w:val="00C24282"/>
    <w:rsid w:val="00C573B7"/>
    <w:rsid w:val="00C73AFF"/>
    <w:rsid w:val="00C83EBF"/>
    <w:rsid w:val="00C919D3"/>
    <w:rsid w:val="00C94123"/>
    <w:rsid w:val="00CA115E"/>
    <w:rsid w:val="00CA535E"/>
    <w:rsid w:val="00CB22DA"/>
    <w:rsid w:val="00CB6738"/>
    <w:rsid w:val="00CC2089"/>
    <w:rsid w:val="00CC34FC"/>
    <w:rsid w:val="00CC4C07"/>
    <w:rsid w:val="00CE2481"/>
    <w:rsid w:val="00D168C9"/>
    <w:rsid w:val="00D179FA"/>
    <w:rsid w:val="00D27633"/>
    <w:rsid w:val="00D367DB"/>
    <w:rsid w:val="00D45A31"/>
    <w:rsid w:val="00D5407E"/>
    <w:rsid w:val="00D76547"/>
    <w:rsid w:val="00D92A7C"/>
    <w:rsid w:val="00D934E5"/>
    <w:rsid w:val="00DB7417"/>
    <w:rsid w:val="00DD5713"/>
    <w:rsid w:val="00DF4ED6"/>
    <w:rsid w:val="00E02B47"/>
    <w:rsid w:val="00E06B71"/>
    <w:rsid w:val="00E376DB"/>
    <w:rsid w:val="00E458EE"/>
    <w:rsid w:val="00E67043"/>
    <w:rsid w:val="00E80026"/>
    <w:rsid w:val="00E82BD6"/>
    <w:rsid w:val="00E95689"/>
    <w:rsid w:val="00EB1988"/>
    <w:rsid w:val="00EE1045"/>
    <w:rsid w:val="00EE12C3"/>
    <w:rsid w:val="00F13595"/>
    <w:rsid w:val="00F37750"/>
    <w:rsid w:val="00F47316"/>
    <w:rsid w:val="00F4778F"/>
    <w:rsid w:val="00F662E3"/>
    <w:rsid w:val="00F72F4C"/>
    <w:rsid w:val="00F8164D"/>
    <w:rsid w:val="00F827AA"/>
    <w:rsid w:val="00FA5229"/>
    <w:rsid w:val="00FD4040"/>
    <w:rsid w:val="00FE1098"/>
    <w:rsid w:val="111587F9"/>
    <w:rsid w:val="17309001"/>
    <w:rsid w:val="33E0CB7F"/>
    <w:rsid w:val="3860706A"/>
    <w:rsid w:val="393325BA"/>
    <w:rsid w:val="403F52C7"/>
    <w:rsid w:val="405A144C"/>
    <w:rsid w:val="4570DC1D"/>
    <w:rsid w:val="478A99E9"/>
    <w:rsid w:val="653D6CCA"/>
    <w:rsid w:val="6F1E6CBC"/>
    <w:rsid w:val="7425B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2ECC8"/>
  <w15:chartTrackingRefBased/>
  <w15:docId w15:val="{DF53AB19-1428-4CC2-ACB6-8373A605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1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5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94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4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123"/>
  </w:style>
  <w:style w:type="paragraph" w:styleId="Footer">
    <w:name w:val="footer"/>
    <w:basedOn w:val="Normal"/>
    <w:link w:val="FooterChar"/>
    <w:uiPriority w:val="99"/>
    <w:unhideWhenUsed/>
    <w:rsid w:val="00C94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23"/>
  </w:style>
  <w:style w:type="paragraph" w:styleId="NormalWeb">
    <w:name w:val="Normal (Web)"/>
    <w:basedOn w:val="Normal"/>
    <w:uiPriority w:val="99"/>
    <w:semiHidden/>
    <w:unhideWhenUsed/>
    <w:rsid w:val="000C5F60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Dammen</dc:creator>
  <cp:keywords/>
  <dc:description/>
  <cp:lastModifiedBy>Hege Dammen</cp:lastModifiedBy>
  <cp:revision>76</cp:revision>
  <dcterms:created xsi:type="dcterms:W3CDTF">2025-05-27T19:03:00Z</dcterms:created>
  <dcterms:modified xsi:type="dcterms:W3CDTF">2025-05-27T21:24:00Z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8cda11-b0e0-4a5f-b13e-64e9de363f52_Enabled">
    <vt:lpwstr>true</vt:lpwstr>
  </property>
  <property fmtid="{D5CDD505-2E9C-101B-9397-08002B2CF9AE}" pid="3" name="MSIP_Label_9c8cda11-b0e0-4a5f-b13e-64e9de363f52_SetDate">
    <vt:lpwstr>2025-05-22T19:32:40Z</vt:lpwstr>
  </property>
  <property fmtid="{D5CDD505-2E9C-101B-9397-08002B2CF9AE}" pid="4" name="MSIP_Label_9c8cda11-b0e0-4a5f-b13e-64e9de363f52_Method">
    <vt:lpwstr>Standard</vt:lpwstr>
  </property>
  <property fmtid="{D5CDD505-2E9C-101B-9397-08002B2CF9AE}" pid="5" name="MSIP_Label_9c8cda11-b0e0-4a5f-b13e-64e9de363f52_Name">
    <vt:lpwstr>Internal Only</vt:lpwstr>
  </property>
  <property fmtid="{D5CDD505-2E9C-101B-9397-08002B2CF9AE}" pid="6" name="MSIP_Label_9c8cda11-b0e0-4a5f-b13e-64e9de363f52_SiteId">
    <vt:lpwstr>425a5546-5a6e-4f1b-ab62-23d91d07d893</vt:lpwstr>
  </property>
  <property fmtid="{D5CDD505-2E9C-101B-9397-08002B2CF9AE}" pid="7" name="MSIP_Label_9c8cda11-b0e0-4a5f-b13e-64e9de363f52_ActionId">
    <vt:lpwstr>41d8a753-2150-4bbf-bec1-5156ca87649a</vt:lpwstr>
  </property>
  <property fmtid="{D5CDD505-2E9C-101B-9397-08002B2CF9AE}" pid="8" name="MSIP_Label_9c8cda11-b0e0-4a5f-b13e-64e9de363f52_ContentBits">
    <vt:lpwstr>0</vt:lpwstr>
  </property>
  <property fmtid="{D5CDD505-2E9C-101B-9397-08002B2CF9AE}" pid="9" name="MSIP_Label_9c8cda11-b0e0-4a5f-b13e-64e9de363f52_Tag">
    <vt:lpwstr>10, 3, 0, 1</vt:lpwstr>
  </property>
</Properties>
</file>